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0583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Гиясова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Сирожиддина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Назиржоновича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24.12.2023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09:00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Гиясов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стоянке автомобилей у дома № 11 по </w:t>
      </w:r>
      <w:r>
        <w:rPr>
          <w:rFonts w:ascii="Times New Roman" w:eastAsia="Times New Roman" w:hAnsi="Times New Roman" w:cs="Times New Roman"/>
          <w:sz w:val="28"/>
          <w:szCs w:val="28"/>
        </w:rPr>
        <w:t>ул.Хусаинова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с.п.Нижнесортымский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</w:t>
      </w:r>
      <w:r>
        <w:rPr>
          <w:rFonts w:ascii="Times New Roman" w:eastAsia="Times New Roman" w:hAnsi="Times New Roman" w:cs="Times New Roman"/>
          <w:sz w:val="28"/>
          <w:szCs w:val="28"/>
        </w:rPr>
        <w:t>АО-Югр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причинил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 нанес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 кулаком правой руки по губам, изо рта пошла кровь, наносил беспорядочные удары кулаком правой руки по голове, по лбу, височную область, лицу, наносил удары кулаком по предплечьям обеих рук и рукам, хватал за волосы, наносил множественные удары ладонями по обеим щекам,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ударил </w:t>
      </w:r>
      <w:r>
        <w:rPr>
          <w:rFonts w:ascii="Times New Roman" w:eastAsia="Times New Roman" w:hAnsi="Times New Roman" w:cs="Times New Roman"/>
          <w:sz w:val="28"/>
          <w:szCs w:val="28"/>
        </w:rPr>
        <w:t>головой об стену тамбура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причинив физическую боль.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Гиясов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С.Н., в судебном заседании вину в совершении правонарушения,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раскаялся в содеянном.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3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пояснила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 </w:t>
      </w:r>
      <w:r>
        <w:rPr>
          <w:rFonts w:ascii="Times New Roman" w:eastAsia="Times New Roman" w:hAnsi="Times New Roman" w:cs="Times New Roman"/>
          <w:sz w:val="28"/>
          <w:szCs w:val="28"/>
        </w:rPr>
        <w:t>Гиясовым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 примирилась , он загладил моральный вред , просит строго не наказывать.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Гиясова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С.Н.,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80197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</w:rPr>
        <w:t>ам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объяснениями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Гиясова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С.Н., заключением эксперта № 146 от 15.01.2024 г.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Гиясова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С.Н.,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Гиясова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Гиясова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Сирожиддина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Назиржоновича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672406132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21">
    <w:name w:val="cat-UserDefined grp-31 rplc-21"/>
    <w:basedOn w:val="DefaultParagraphFont"/>
  </w:style>
  <w:style w:type="character" w:customStyle="1" w:styleId="cat-UserDefinedgrp-32rplc-25">
    <w:name w:val="cat-UserDefined grp-32 rplc-25"/>
    <w:basedOn w:val="DefaultParagraphFont"/>
  </w:style>
  <w:style w:type="character" w:customStyle="1" w:styleId="cat-UserDefinedgrp-31rplc-29">
    <w:name w:val="cat-UserDefined grp-31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